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209 vom 20. Februar 2018</w:t>
      </w:r>
    </w:p>
    <w:p>
      <w:r>
        <w:t>FR Kantonsgericht, 2018-02-20, DE</w:t>
      </w:r>
    </w:p>
    <w:p>
      <w:r>
        <w:rPr>
          <w:b/>
        </w:rPr>
        <w:t xml:space="preserve">Quelle: </w:t>
      </w:r>
      <w:r>
        <w:t>https://mcp.opencaselaw.ch/entscheid/fr_gerichte_101 2017 209</w:t>
      </w:r>
    </w:p>
    <w:p>
      <w:r>
        <w:t>FR: FR_GERICHTE 101 2017 209 du 20 février 2018</w:t>
      </w:r>
    </w:p>
    <w:p>
      <w:r>
        <w:t>IT: FR_GERICHTE 101 2017 209 del 20 febbraio 2018</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 erhaltenen Rechtsbegehren mindestens CHF 10‘000.- beträgt (Art. 308 ZPO). Vorliegend wurde vorsorglich eine Verfügungsbeschränkung angeordnet und diese im Grundbuch vorgemerkt. Sie betrifft zwei sich in der Bauzone befindliche Grundstücke, so dass der Streitwert die Grenze ohne Weiteres übersteigt.</w:t>
      </w:r>
    </w:p>
    <w:p>
      <w:r>
        <w:t>Kantonsgericht KG Seite 4 von 6 Im Übrigen kann gegen das vorliegende Urteil Beschwerde in Zivilsachen beim Bundesgericht erhoben werden, da aus denselben Gründen auch der dafür relevante Streitwert die Grenze von CHF 30‘000.- übersteigt.</w:t>
      </w:r>
    </w:p>
    <w:p>
      <w:r>
        <w:rPr>
          <w:b/>
        </w:rPr>
        <w:t>E. 1.2</w:t>
      </w:r>
    </w:p>
    <w:p>
      <w:r>
        <w:t>Mit Berufung können unrichtige Rechtsanwendung und unrichtige Feststellung des Sachver- haltes geltend gemacht werden (Art. 310 ZPO).</w:t>
      </w:r>
    </w:p>
    <w:p>
      <w:r>
        <w:rPr>
          <w:b/>
        </w:rPr>
        <w:t>E. 1.3</w:t>
      </w:r>
    </w:p>
    <w:p>
      <w:r>
        <w:t>Im vorliegend anwendbaren summarischen Verfahren (Art. 249 Bst. d Ziff. 11 ZPO) beträgt die Berufungsfrist 10 Tage (Art. 314 Abs. 1 ZPO). Vorliegend wurde die Berufungsfrist mit der Eingabe vom 28. Juni 2017 gewahrt, da der ange- fochtene Entscheid der Berufungsklägerin am 19. Juni 2017 (act. 15a) zugestellt wurde.</w:t>
      </w:r>
    </w:p>
    <w:p>
      <w:r>
        <w:rPr>
          <w:b/>
        </w:rPr>
        <w:t>E. 1.4</w:t>
      </w:r>
    </w:p>
    <w:p>
      <w:r>
        <w:t>Die Rechtsmittelinstanz kann aufgrund der Akten entscheiden (Art. 316 Abs. 1 ZPO).</w:t>
      </w:r>
    </w:p>
    <w:p>
      <w:r>
        <w:rPr>
          <w:b/>
        </w:rPr>
        <w:t>E. 1.5</w:t>
      </w:r>
    </w:p>
    <w:p>
      <w:r>
        <w:t>Neue Tatsachen und Beweismittel werden nur noch berücksichtigt, wenn sie ohne Verzug vorgebracht werden und trotz zumutbarer Sorgfalt nicht schon vor erster Instanz vorgebracht werden konnten (Art. 317 Abs. 1 ZPO).</w:t>
      </w:r>
    </w:p>
    <w:p>
      <w:r>
        <w:rPr>
          <w:b/>
        </w:rPr>
        <w:t>E. 2</w:t>
      </w:r>
    </w:p>
    <w:p>
      <w:r>
        <w:t>Die Berufungsklägerin macht eine unrichtige Feststellung des Sachverhalts sowie eine unrichtige Rechtsanwendung geltend. Die Berufungsbeklagten hätten das Verbal nicht eingereicht. Der Gerichtspräsident habe nicht abgeklärt, in welchem Umfang die Flächen der beiden Parzellen Art. lll und mmm benötigt würden, um nArt. jjj zu bilden. Von den beiden Parzellen werde im Verhältnis zu deren Gesamtfläche nur ein kleiner Teil von einigen wenigen m2 benötigt, um die neue Parzellengrenze herzustellen. Es handle sich um eine verschwindend kleine Grundstücks- fläche, so dass es sich nicht rechtfertige, die gesamte Fläche der Grundstücke Art. lll und mmm mit einer Verfügungsbeschränkung zu belegen und diese im Grundbuch vorzumerken. Es sei nicht einzusehen, inwiefern die Berufungsbeklagten nicht in der Lage wären, das Kaufversprechen vom 16. Juli 2014 durchzusetzen, wenn die beiden Grundstücke Art. lll und mmm nicht berücksichtigt würden. Damit werde der im Verfahren um vorsorgliche Massnahmen vorherrschende Grundsatz der Verhältnismässigkeit verletzt. Eine andere, weniger einschneidende Massnahme, wie zum Beispiel eine an die Grundeigentümerin gerichtete Anweisung in Form eines Verbots, über die betreffenden Grundstücke zu verfügen, hätte genügt. Vorliegend ist unbestritten, dass nArt. jjj teilweise aus den Grundstücken Art. lll und mmm gebildet werden sollte. Es ist unbeachtlich, dass von den beiden im Eigentum der Berufungsklägerin stehenden Parzellen lediglich ein paar wenige m2 benötigt würden, um nArt. jjj zu bilden, da zwar nur ein paar wenige, aber genau diese m2 benötigt würden. Zumal das Teilungsverbal vom 16. April 2013 gerade nicht beim Grundbuchamt eingereicht wurde, sind die Parzellen auch nie geteilt worden, so dass Gegenstand der Verfügungsbeschränkung lediglich das Grundstück als Ganzes sein kann. Die Einwände erweisen sich als unbegründet. Unbegründet ist schliesslich auch die Rüge, das Verhältnismässigkeitsprinzip sei verletzt. Die vorgeschlagene mildere Massnahme der richterlichen Anweisung an die Berufungsklägerin ist im Gegensatz zur Verfügungsbeschränkung offensichtlich nicht geeignet, die Berufungsbeklagte vor gutgläubigen Dritterwerber der Grundstücke zu schützen. Genau dies soll aber mit den vorsorgli- chen Massnahmen erreicht werden. Die Verfügungsbeschränkung stellt ausserdem keine Grund- buchsperre dar, wie es die Berufungsklägerin zu verstehen scheint (vgl. Berufung, S. 3 Ziff. 3),</w:t>
      </w:r>
    </w:p>
    <w:p>
      <w:r>
        <w:t>Kantonsgericht KG Seite 5 von 6 sondern sichert für das umstrittene Recht den Vorrang gegenüber jedem später erworbenen Recht (Urteil BGer 5D_79/2010 vom 29. Juli 2010 E. 1). Die Berufung ist unbegründet und abzuweisen.</w:t>
      </w:r>
    </w:p>
    <w:p>
      <w:r>
        <w:rPr>
          <w:b/>
        </w:rPr>
        <w:t>E. 3</w:t>
      </w:r>
    </w:p>
    <w:p>
      <w:r>
        <w:t>Aufl. 2017, Art. 264 N. 7).</w:t>
      </w:r>
    </w:p>
    <w:p>
      <w:r>
        <w:rPr>
          <w:b/>
        </w:rPr>
        <w:t>E. 4</w:t>
      </w:r>
    </w:p>
    <w:p>
      <w:r>
        <w:t>Die Kosten werden der unterliegenden Berufungsklägerin auferlegt (Art. 106 Abs. 1 ZPO).</w:t>
      </w:r>
    </w:p>
    <w:p>
      <w:r>
        <w:rPr>
          <w:b/>
        </w:rPr>
        <w:t>E. 4.1</w:t>
      </w:r>
    </w:p>
    <w:p>
      <w:r>
        <w:t>Die Gerichtskosten werden pauschal auf CHF 5‘000.- festgesetzt und mit dem von der Berufungsklägerin geleisteten Vorschuss verrechnet (Art. 111 ZPO).</w:t>
      </w:r>
    </w:p>
    <w:p>
      <w:r>
        <w:rPr>
          <w:b/>
        </w:rPr>
        <w:t>E. 4.2</w:t>
      </w:r>
    </w:p>
    <w:p>
      <w:r>
        <w:t>Unter Berücksichtigung der Art, der Schwierigkeit und des Umfangs des Verfahrens sowie der notwendigen Arbeit von Rechtsanwalt Gapany, dem Interesse und der wirtschaftlichen Verhältnisse der Parteien, wird die von der Berufungsklägerin den Berufungsbeklagten geschul- dete Parteientschädigung auf CHF 750.-, zzgl. CHF 60.- MwSt. (Art. 63 und Art. 64 Abs. 1 JR), festgesetzt. (Dispositiv auf nachfolgender Seite)</w:t>
      </w:r>
    </w:p>
    <w:p>
      <w:r>
        <w:t>Kantonsgericht KG Seite 6 von 6 Der Hof erkennt: I. Die Berufung wird abgewiesen, soweit darauf eingetreten werden kann. Der Entscheid des Gerichtspräsidenten des Sensebezirks vom 2. Mai 2017 wird bestätigt. II. Die Prozesskosten werden A.________ auferlegt. a) Die Gerichtskosten werden pauschal auf CHF 5‘000.- festgesetzt und mit dem Vorschuss in der Höhe von CHF 5‘000.- verrechnet. b) Die B.________ und C.________ geschuldete Parteientschädigung wird auf CHF 750.-, zzgl. CHF 60.- MwSt.,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20. Februar 2018/cth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